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ny"/>
        <w:rPr>
          <w:b/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POMOC ŻYWNOŚCIOWA</w:t>
      </w:r>
    </w:p>
    <w:p>
      <w:pPr>
        <w:pStyle w:val="Normalny"/>
        <w:rPr/>
      </w:pPr>
      <w:r>
        <w:rPr>
          <w:rStyle w:val="Domylnaczcionkaakapitu"/>
          <w:i/>
          <w:iCs/>
          <w:sz w:val="28"/>
          <w:szCs w:val="28"/>
        </w:rPr>
        <w:t xml:space="preserve">Gmina Malechowo w imieniu której działa Gminny Ośrodek Pomocy Społecznej w dniu 27.01.2021 r ponownie nawiązała współpracę z Bankiem Żywności w Koszalinie na realizację zadań z zakresu dystrybucji artykułów spożywczych dla osób najbardziej potrzebujących w   ramach Programu Operacyjnego Pomoc Żywnościowa 2014-2020 , </w:t>
      </w:r>
      <w:r>
        <w:rPr>
          <w:rStyle w:val="Domylnaczcionkaakapitu"/>
          <w:rFonts w:eastAsia="Times New Roman" w:ascii="Times New Roman" w:hAnsi="Times New Roman"/>
          <w:i/>
          <w:iCs/>
          <w:sz w:val="28"/>
          <w:szCs w:val="28"/>
          <w:lang w:eastAsia="pl-PL"/>
        </w:rPr>
        <w:t>który jest współfinansowany z Europejskiego Funduszu Pomocy Najbardziej Potrzebującym realizowanego  w Podprogramie 2020</w:t>
      </w:r>
    </w:p>
    <w:p>
      <w:pPr>
        <w:pStyle w:val="Normalny"/>
        <w:spacing w:lineRule="auto" w:line="240" w:before="100" w:after="100"/>
        <w:jc w:val="both"/>
        <w:rPr>
          <w:rFonts w:ascii="Times New Roman" w:hAnsi="Times New Roman" w:eastAsia="Times New Roman"/>
          <w:i/>
          <w:i/>
          <w:sz w:val="28"/>
          <w:szCs w:val="28"/>
          <w:lang w:eastAsia="pl-PL"/>
        </w:rPr>
      </w:pPr>
      <w:bookmarkStart w:id="0" w:name="_Hlk528050264"/>
      <w:r>
        <w:rPr>
          <w:rFonts w:eastAsia="Times New Roman" w:ascii="Times New Roman" w:hAnsi="Times New Roman"/>
          <w:i/>
          <w:sz w:val="28"/>
          <w:szCs w:val="28"/>
          <w:lang w:eastAsia="pl-PL"/>
        </w:rPr>
        <w:t xml:space="preserve">Jest to program polegający na dostarczaniu pomocy żywnościowej w formie paczek, osobom najbardziej potrzebującym.  Instytucją zarządzającą Programem Operacyjnym Pomoc Żywnościowa jest Minister Pracy i Polityki Społecznej. </w:t>
      </w:r>
      <w:bookmarkEnd w:id="0"/>
      <w:r>
        <w:rPr>
          <w:rFonts w:eastAsia="Times New Roman" w:ascii="Times New Roman" w:hAnsi="Times New Roman"/>
          <w:i/>
          <w:sz w:val="28"/>
          <w:szCs w:val="28"/>
          <w:lang w:eastAsia="pl-PL"/>
        </w:rPr>
        <w:br/>
      </w:r>
    </w:p>
    <w:p>
      <w:pPr>
        <w:pStyle w:val="Normalny"/>
        <w:spacing w:lineRule="auto" w:line="240" w:before="100" w:after="100"/>
        <w:ind w:firstLine="708"/>
        <w:jc w:val="both"/>
        <w:rPr>
          <w:rFonts w:ascii="Times New Roman" w:hAnsi="Times New Roman" w:eastAsia="Times New Roman"/>
          <w:i/>
          <w:i/>
          <w:sz w:val="28"/>
          <w:szCs w:val="28"/>
          <w:lang w:eastAsia="pl-PL"/>
        </w:rPr>
      </w:pPr>
      <w:r>
        <w:rPr>
          <w:rFonts w:eastAsia="Times New Roman" w:ascii="Times New Roman" w:hAnsi="Times New Roman"/>
          <w:i/>
          <w:sz w:val="28"/>
          <w:szCs w:val="28"/>
          <w:lang w:eastAsia="pl-PL"/>
        </w:rPr>
        <w:t>Gminny Ośrodek Pomocy Społecznej w Malechowie będzie również kwalifikował osoby do pomocy żywnościowej na podstawie wydanych skierowań,   biorąc pod uwagę dochód osoby/ rodziny w odniesieniu do kryterium dochodowego, a także inne przesłanki takie jak: niepełnosprawność, wielodzietność, bezrobocie, długotrwałą chorobę, itp.</w:t>
      </w:r>
    </w:p>
    <w:p>
      <w:pPr>
        <w:pStyle w:val="NormalnyWeb"/>
        <w:rPr/>
      </w:pPr>
      <w:r>
        <w:rPr>
          <w:rStyle w:val="Domylnaczcionkaakapitu"/>
          <w:b/>
          <w:bCs/>
          <w:iCs/>
          <w:sz w:val="28"/>
          <w:szCs w:val="28"/>
        </w:rPr>
        <w:t>Informujemy iż</w:t>
      </w:r>
      <w:r>
        <w:rPr>
          <w:rStyle w:val="Domylnaczcionkaakapitu"/>
          <w:b/>
          <w:bCs/>
          <w:i/>
          <w:sz w:val="28"/>
          <w:szCs w:val="28"/>
        </w:rPr>
        <w:t xml:space="preserve">, nastąpiła </w:t>
      </w:r>
      <w:r>
        <w:rPr>
          <w:rStyle w:val="Domylnaczcionkaakapitu"/>
          <w:b/>
          <w:bCs/>
        </w:rPr>
        <w:t>Zmiana kryteriów dochodowych w Podprogramie 2020 obowiązuje od 26 listopada 2020 r. Wzrosło ono z 200 proc. do 220 proc. i wynosi obecnie:</w:t>
      </w:r>
    </w:p>
    <w:p>
      <w:pPr>
        <w:pStyle w:val="Normalny"/>
        <w:numPr>
          <w:ilvl w:val="0"/>
          <w:numId w:val="1"/>
        </w:numPr>
        <w:suppressAutoHyphens w:val="false"/>
        <w:spacing w:lineRule="auto" w:line="240" w:before="100" w:after="100"/>
        <w:textAlignment w:val="auto"/>
        <w:rPr>
          <w:rFonts w:ascii="Times New Roman" w:hAnsi="Times New Roman" w:eastAsia="Times New Roman"/>
          <w:b/>
          <w:b/>
          <w:bCs/>
          <w:sz w:val="24"/>
          <w:szCs w:val="24"/>
          <w:lang w:eastAsia="pl-PL"/>
        </w:rPr>
      </w:pPr>
      <w:r>
        <w:rPr>
          <w:rFonts w:eastAsia="Times New Roman" w:ascii="Times New Roman" w:hAnsi="Times New Roman"/>
          <w:b/>
          <w:bCs/>
          <w:sz w:val="24"/>
          <w:szCs w:val="24"/>
          <w:lang w:eastAsia="pl-PL"/>
        </w:rPr>
        <w:t>1 542,20 zł (wcześniej: 1 402 zł) dla osoby samotnie gospodarującej,</w:t>
      </w:r>
    </w:p>
    <w:p>
      <w:pPr>
        <w:pStyle w:val="Normalny"/>
        <w:numPr>
          <w:ilvl w:val="0"/>
          <w:numId w:val="1"/>
        </w:numPr>
        <w:suppressAutoHyphens w:val="false"/>
        <w:spacing w:lineRule="auto" w:line="240" w:before="100" w:after="100"/>
        <w:textAlignment w:val="auto"/>
        <w:rPr>
          <w:rFonts w:ascii="Times New Roman" w:hAnsi="Times New Roman" w:eastAsia="Times New Roman"/>
          <w:b/>
          <w:b/>
          <w:bCs/>
          <w:sz w:val="24"/>
          <w:szCs w:val="24"/>
          <w:lang w:eastAsia="pl-PL"/>
        </w:rPr>
      </w:pPr>
      <w:r>
        <w:rPr>
          <w:rFonts w:eastAsia="Times New Roman" w:ascii="Times New Roman" w:hAnsi="Times New Roman"/>
          <w:b/>
          <w:bCs/>
          <w:sz w:val="24"/>
          <w:szCs w:val="24"/>
          <w:lang w:eastAsia="pl-PL"/>
        </w:rPr>
        <w:t>1 161,60 zł (wcześniej: 1 056 zł) dla osoby w rodzinie.</w:t>
      </w:r>
    </w:p>
    <w:p>
      <w:pPr>
        <w:pStyle w:val="Normalny"/>
        <w:suppressAutoHyphens w:val="false"/>
        <w:spacing w:lineRule="auto" w:line="240" w:before="100" w:after="100"/>
        <w:textAlignment w:val="auto"/>
        <w:rPr>
          <w:rFonts w:ascii="Times New Roman" w:hAnsi="Times New Roman" w:eastAsia="Times New Roman"/>
          <w:b/>
          <w:b/>
          <w:bCs/>
          <w:sz w:val="24"/>
          <w:szCs w:val="24"/>
          <w:lang w:eastAsia="pl-PL"/>
        </w:rPr>
      </w:pPr>
      <w:r>
        <w:rPr>
          <w:rFonts w:eastAsia="Times New Roman" w:ascii="Times New Roman" w:hAnsi="Times New Roman"/>
          <w:b/>
          <w:bCs/>
          <w:sz w:val="24"/>
          <w:szCs w:val="24"/>
          <w:lang w:eastAsia="pl-PL"/>
        </w:rPr>
        <w:t>Podwyższenie kryterium z 200 proc. do 220 proc. kryterium uprawniającego do świadczeń z pomocy społecznej ma w założeniu umożliwić „powrót do Programu” w szczególności części osób starszych i osób niepełnosprawnych, które dotychczas korzystały z pomocy żywnościowej, a utraciły do niej uprawnienie w efekcie waloryzacji różnych świadczeń społecznych.</w:t>
      </w:r>
    </w:p>
    <w:p>
      <w:pPr>
        <w:pStyle w:val="Normalny"/>
        <w:spacing w:lineRule="auto" w:line="240" w:before="100" w:after="100"/>
        <w:ind w:firstLine="708"/>
        <w:jc w:val="both"/>
        <w:rPr/>
      </w:pPr>
      <w:r>
        <w:rPr/>
      </w:r>
    </w:p>
    <w:p>
      <w:pPr>
        <w:pStyle w:val="Normalny"/>
        <w:spacing w:lineRule="auto" w:line="240" w:before="100" w:after="100"/>
        <w:jc w:val="both"/>
        <w:rPr>
          <w:rFonts w:ascii="Times New Roman" w:hAnsi="Times New Roman" w:eastAsia="Times New Roman"/>
          <w:i/>
          <w:i/>
          <w:sz w:val="28"/>
          <w:szCs w:val="28"/>
          <w:lang w:eastAsia="pl-PL"/>
        </w:rPr>
      </w:pPr>
      <w:r>
        <w:rPr>
          <w:rFonts w:eastAsia="Times New Roman" w:ascii="Times New Roman" w:hAnsi="Times New Roman"/>
          <w:i/>
          <w:sz w:val="28"/>
          <w:szCs w:val="28"/>
          <w:lang w:eastAsia="pl-PL"/>
        </w:rPr>
        <w:t>Osoby zainteresowane udzieleniem wsparcia w formie żywności winny zgłosić się do Ośrodka Pomocy Społecznej do pracownika socjalnego celem wypełnienia skierowania i  złożenia oświadczenia o dochodach za miesiąc poprzedzający złożenie wniosku.</w:t>
      </w:r>
    </w:p>
    <w:p>
      <w:pPr>
        <w:pStyle w:val="Normalny"/>
        <w:spacing w:lineRule="auto" w:line="240" w:before="100" w:after="100"/>
        <w:ind w:firstLine="708"/>
        <w:jc w:val="both"/>
        <w:rPr/>
      </w:pPr>
      <w:r>
        <w:rPr>
          <w:rStyle w:val="Domylnaczcionkaakapitu"/>
          <w:rFonts w:eastAsia="Times New Roman" w:ascii="Times New Roman" w:hAnsi="Times New Roman"/>
          <w:i/>
          <w:sz w:val="28"/>
          <w:szCs w:val="28"/>
          <w:lang w:eastAsia="pl-PL"/>
        </w:rPr>
        <w:t>Szczegółowe informację na temat POPŻ udziela Gminny Ośrodek Pomocy Społecznej w Malechowie pokój nr 7, tel. 943140566 (Pani Grażyna Rusak</w:t>
      </w:r>
      <w:r>
        <w:rPr>
          <w:rStyle w:val="Domylnaczcionkaakapitu"/>
          <w:rFonts w:eastAsia="Times New Roman" w:ascii="Times New Roman" w:hAnsi="Times New Roman"/>
          <w:i/>
          <w:sz w:val="28"/>
          <w:szCs w:val="28"/>
          <w:lang w:eastAsia="pl-PL"/>
        </w:rPr>
        <w:t>)</w:t>
      </w:r>
      <w:r>
        <w:rPr>
          <w:rStyle w:val="Domylnaczcionkaakapitu"/>
          <w:rFonts w:eastAsia="Times New Roman" w:ascii="Times New Roman" w:hAnsi="Times New Roman"/>
          <w:i/>
          <w:sz w:val="28"/>
          <w:szCs w:val="28"/>
          <w:lang w:eastAsia="pl-PL"/>
        </w:rPr>
        <w:t xml:space="preserve"> 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swiss"/>
    <w:pitch w:val="variable"/>
  </w:font>
  <w:font w:name="Courier New">
    <w:charset w:val="ee"/>
    <w:family w:val="modern"/>
    <w:pitch w:val="fixed"/>
  </w:font>
  <w:font w:name="Wingdings">
    <w:charset w:val="02"/>
    <w:family w:val="auto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pl-PL" w:eastAsia="en-US" w:bidi="ar-SA"/>
      </w:rPr>
    </w:rPrDefault>
    <w:pPrDefault>
      <w:pPr>
        <w:widowControl/>
        <w:suppressAutoHyphens w:val="false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 w:before="0" w:after="160"/>
      <w:jc w:val="left"/>
      <w:textAlignment w:val="baseline"/>
    </w:pPr>
    <w:rPr>
      <w:rFonts w:ascii="Calibri" w:hAnsi="Calibri" w:eastAsia="Calibri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2"/>
      <w:sz w:val="22"/>
      <w:szCs w:val="22"/>
      <w:u w:val="none"/>
      <w:shd w:fill="auto" w:val="clear"/>
      <w:vertAlign w:val="baseline"/>
      <w:em w:val="none"/>
      <w:lang w:val="pl-PL" w:eastAsia="en-US" w:bidi="ar-SA"/>
    </w:rPr>
  </w:style>
  <w:style w:type="character" w:styleId="Domylnaczcionkaakapitu">
    <w:name w:val="Domyślna czcionka akapitu"/>
    <w:qFormat/>
    <w:rPr/>
  </w:style>
  <w:style w:type="character" w:styleId="WWCharLFO1LVL1">
    <w:name w:val="WW_CharLFO1LVL1"/>
    <w:qFormat/>
    <w:rPr>
      <w:rFonts w:ascii="Symbol" w:hAnsi="Symbol"/>
      <w:sz w:val="20"/>
    </w:rPr>
  </w:style>
  <w:style w:type="character" w:styleId="WWCharLFO1LVL2">
    <w:name w:val="WW_CharLFO1LVL2"/>
    <w:qFormat/>
    <w:rPr>
      <w:rFonts w:ascii="Courier New" w:hAnsi="Courier New"/>
      <w:sz w:val="20"/>
    </w:rPr>
  </w:style>
  <w:style w:type="character" w:styleId="WWCharLFO1LVL3">
    <w:name w:val="WW_CharLFO1LVL3"/>
    <w:qFormat/>
    <w:rPr>
      <w:rFonts w:ascii="Wingdings" w:hAnsi="Wingdings"/>
      <w:sz w:val="20"/>
    </w:rPr>
  </w:style>
  <w:style w:type="character" w:styleId="WWCharLFO1LVL4">
    <w:name w:val="WW_CharLFO1LVL4"/>
    <w:qFormat/>
    <w:rPr>
      <w:rFonts w:ascii="Wingdings" w:hAnsi="Wingdings"/>
      <w:sz w:val="20"/>
    </w:rPr>
  </w:style>
  <w:style w:type="character" w:styleId="WWCharLFO1LVL5">
    <w:name w:val="WW_CharLFO1LVL5"/>
    <w:qFormat/>
    <w:rPr>
      <w:rFonts w:ascii="Wingdings" w:hAnsi="Wingdings"/>
      <w:sz w:val="20"/>
    </w:rPr>
  </w:style>
  <w:style w:type="character" w:styleId="WWCharLFO1LVL6">
    <w:name w:val="WW_CharLFO1LVL6"/>
    <w:qFormat/>
    <w:rPr>
      <w:rFonts w:ascii="Wingdings" w:hAnsi="Wingdings"/>
      <w:sz w:val="20"/>
    </w:rPr>
  </w:style>
  <w:style w:type="character" w:styleId="WWCharLFO1LVL7">
    <w:name w:val="WW_CharLFO1LVL7"/>
    <w:qFormat/>
    <w:rPr>
      <w:rFonts w:ascii="Wingdings" w:hAnsi="Wingdings"/>
      <w:sz w:val="20"/>
    </w:rPr>
  </w:style>
  <w:style w:type="character" w:styleId="WWCharLFO1LVL8">
    <w:name w:val="WW_CharLFO1LVL8"/>
    <w:qFormat/>
    <w:rPr>
      <w:rFonts w:ascii="Wingdings" w:hAnsi="Wingdings"/>
      <w:sz w:val="20"/>
    </w:rPr>
  </w:style>
  <w:style w:type="character" w:styleId="WWCharLFO1LVL9">
    <w:name w:val="WW_CharLFO1LVL9"/>
    <w:qFormat/>
    <w:rPr>
      <w:rFonts w:ascii="Wingdings" w:hAnsi="Wingdings"/>
      <w:sz w:val="20"/>
    </w:rPr>
  </w:style>
  <w:style w:type="paragraph" w:styleId="Normalny">
    <w:name w:val="Normalny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 w:before="0" w:after="160"/>
      <w:jc w:val="left"/>
      <w:textAlignment w:val="baseline"/>
    </w:pPr>
    <w:rPr>
      <w:rFonts w:ascii="Calibri" w:hAnsi="Calibri" w:eastAsia="Calibri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2"/>
      <w:sz w:val="22"/>
      <w:szCs w:val="22"/>
      <w:u w:val="none"/>
      <w:shd w:fill="auto" w:val="clear"/>
      <w:vertAlign w:val="baseline"/>
      <w:em w:val="none"/>
      <w:lang w:val="pl-PL" w:eastAsia="en-US" w:bidi="ar-SA"/>
    </w:rPr>
  </w:style>
  <w:style w:type="paragraph" w:styleId="NormalnyWeb">
    <w:name w:val="Normalny (Web)"/>
    <w:basedOn w:val="Normalny"/>
    <w:qFormat/>
    <w:pPr>
      <w:suppressAutoHyphens w:val="true"/>
      <w:spacing w:lineRule="auto" w:line="240" w:before="100" w:after="100"/>
      <w:textAlignment w:val="auto"/>
    </w:pPr>
    <w:rPr>
      <w:rFonts w:ascii="Times New Roman" w:hAnsi="Times New Roman" w:eastAsia="Times New Roman"/>
      <w:sz w:val="24"/>
      <w:szCs w:val="24"/>
      <w:lang w:eastAsia="pl-P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LibreOffice/7.0.0.3$Windows_X86_64 LibreOffice_project/8061b3e9204bef6b321a21033174034a5e2ea88e</Application>
  <Pages>1</Pages>
  <Words>270</Words>
  <Characters>1753</Characters>
  <CharactersWithSpaces>2021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2019-03-21T09:35:00Z</dcterms:created>
  <dc:creator>krzaku</dc:creator>
  <dc:description/>
  <dc:language>pl-PL</dc:language>
  <cp:lastModifiedBy/>
  <cp:lastPrinted>2021-01-29T09:12:00Z</cp:lastPrinted>
  <dcterms:modified xsi:type="dcterms:W3CDTF">2021-01-29T13:03:04Z</dcterms:modified>
  <cp:revision>15</cp:revision>
  <dc:subject/>
  <dc:title/>
</cp:coreProperties>
</file>